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31" w:rsidRDefault="00BE35C5">
      <w:r>
        <w:br w:type="textWrapping" w:clear="all"/>
      </w:r>
    </w:p>
    <w:p w:rsidR="00256E31" w:rsidRPr="00D51C9D" w:rsidRDefault="00BC19B1" w:rsidP="00256E31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tab/>
        <w:t xml:space="preserve">        Subjects-ACTE</w:t>
      </w:r>
      <w:r w:rsidR="00236752">
        <w:t xml:space="preserve">                                                                                                    </w:t>
      </w:r>
      <w:r w:rsidR="00BC203D">
        <w:t xml:space="preserve">       </w:t>
      </w:r>
      <w:bookmarkStart w:id="0" w:name="_GoBack"/>
      <w:bookmarkEnd w:id="0"/>
      <w:r w:rsidR="00236752">
        <w:t>CODE:311</w:t>
      </w:r>
    </w:p>
    <w:p w:rsidR="00256E31" w:rsidRPr="0031365E" w:rsidRDefault="00256E31" w:rsidP="00256E3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618"/>
        <w:gridCol w:w="618"/>
        <w:gridCol w:w="597"/>
        <w:gridCol w:w="597"/>
        <w:gridCol w:w="597"/>
        <w:gridCol w:w="618"/>
        <w:gridCol w:w="597"/>
        <w:gridCol w:w="699"/>
        <w:gridCol w:w="699"/>
        <w:gridCol w:w="693"/>
        <w:gridCol w:w="6"/>
        <w:gridCol w:w="771"/>
      </w:tblGrid>
      <w:tr w:rsidR="00256E31" w:rsidRPr="0031365E" w:rsidTr="001B4E73">
        <w:tc>
          <w:tcPr>
            <w:tcW w:w="134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gridSpan w:val="2"/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C00000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256E31" w:rsidRPr="0031365E" w:rsidTr="001B4E73">
        <w:tc>
          <w:tcPr>
            <w:tcW w:w="1347" w:type="dxa"/>
            <w:vMerge w:val="restart"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</w:t>
            </w:r>
            <w:r>
              <w:rPr>
                <w:rFonts w:ascii="Arial MT" w:eastAsia="Arial MT" w:hAnsi="Arial MT" w:cs="Arial MT"/>
              </w:rPr>
              <w:t xml:space="preserve">    </w:t>
            </w:r>
            <w:r w:rsidRPr="0031365E">
              <w:rPr>
                <w:rFonts w:ascii="Arial MT" w:eastAsia="Arial MT" w:hAnsi="Arial MT" w:cs="Arial MT"/>
              </w:rPr>
              <w:t>C212.1</w:t>
            </w:r>
          </w:p>
        </w:tc>
        <w:tc>
          <w:tcPr>
            <w:tcW w:w="6276" w:type="dxa"/>
            <w:gridSpan w:val="11"/>
          </w:tcPr>
          <w:p w:rsidR="00256E31" w:rsidRPr="0031365E" w:rsidRDefault="00271A7D" w:rsidP="0080100A">
            <w:pPr>
              <w:spacing w:after="27"/>
              <w:jc w:val="both"/>
              <w:rPr>
                <w:rFonts w:eastAsia="Calibri"/>
              </w:rPr>
            </w:pPr>
            <w:r w:rsidRPr="002A158A">
              <w:rPr>
                <w:rFonts w:cs="Times New Roman"/>
                <w:bCs/>
              </w:rPr>
              <w:t xml:space="preserve">Students will be </w:t>
            </w:r>
            <w:r>
              <w:rPr>
                <w:rFonts w:cs="Times New Roman"/>
                <w:bCs/>
              </w:rPr>
              <w:t>familiar with</w:t>
            </w:r>
            <w:r w:rsidRPr="002A158A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various advanced construction materials </w:t>
            </w:r>
            <w:r w:rsidRPr="002A158A">
              <w:rPr>
                <w:rFonts w:cs="Times New Roman"/>
                <w:bCs/>
              </w:rPr>
              <w:t xml:space="preserve">and </w:t>
            </w:r>
            <w:r>
              <w:rPr>
                <w:rFonts w:cs="Times New Roman"/>
                <w:bCs/>
              </w:rPr>
              <w:t xml:space="preserve">will be </w:t>
            </w:r>
            <w:r w:rsidRPr="002A158A">
              <w:rPr>
                <w:rFonts w:cs="Times New Roman"/>
                <w:bCs/>
              </w:rPr>
              <w:t xml:space="preserve">competent </w:t>
            </w:r>
            <w:r>
              <w:rPr>
                <w:rFonts w:cs="Times New Roman"/>
                <w:bCs/>
              </w:rPr>
              <w:t xml:space="preserve">to work </w:t>
            </w:r>
            <w:r w:rsidRPr="002A158A">
              <w:rPr>
                <w:rFonts w:cs="Times New Roman"/>
                <w:bCs/>
              </w:rPr>
              <w:t>with the contemporary developments in construction technology, and composite materials, their properties, and practical applications.</w:t>
            </w:r>
          </w:p>
        </w:tc>
        <w:tc>
          <w:tcPr>
            <w:tcW w:w="771" w:type="dxa"/>
          </w:tcPr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="00185348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256E31" w:rsidRPr="0031365E" w:rsidTr="001B4E73">
        <w:tc>
          <w:tcPr>
            <w:tcW w:w="1347" w:type="dxa"/>
            <w:vMerge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256E31" w:rsidRPr="0031365E" w:rsidRDefault="009E2EA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256E31" w:rsidRPr="0031365E" w:rsidTr="001B4E73">
        <w:tc>
          <w:tcPr>
            <w:tcW w:w="1347" w:type="dxa"/>
            <w:vMerge w:val="restart"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C212.2</w:t>
            </w:r>
          </w:p>
        </w:tc>
        <w:tc>
          <w:tcPr>
            <w:tcW w:w="6276" w:type="dxa"/>
            <w:gridSpan w:val="11"/>
          </w:tcPr>
          <w:p w:rsidR="00256E31" w:rsidRPr="00BC19B1" w:rsidRDefault="0080100A" w:rsidP="0080100A">
            <w:pPr>
              <w:spacing w:after="27"/>
              <w:jc w:val="both"/>
              <w:rPr>
                <w:rFonts w:eastAsia="Calibri"/>
              </w:rPr>
            </w:pPr>
            <w:r w:rsidRPr="002A158A">
              <w:rPr>
                <w:rFonts w:cs="Times New Roman"/>
                <w:bCs/>
              </w:rPr>
              <w:t>Students will be able to</w:t>
            </w:r>
            <w:r>
              <w:rPr>
                <w:rFonts w:cs="Times New Roman"/>
                <w:bCs/>
              </w:rPr>
              <w:t xml:space="preserve"> u</w:t>
            </w:r>
            <w:r w:rsidRPr="002A158A">
              <w:rPr>
                <w:rFonts w:cs="Times New Roman"/>
                <w:bCs/>
              </w:rPr>
              <w:t>nderstand the scope of prefabrication of buildings</w:t>
            </w:r>
            <w:r>
              <w:rPr>
                <w:rFonts w:cs="Times New Roman"/>
                <w:bCs/>
              </w:rPr>
              <w:t xml:space="preserve">, Types, </w:t>
            </w:r>
            <w:r w:rsidRPr="0082692E">
              <w:rPr>
                <w:rFonts w:cs="Times New Roman"/>
              </w:rPr>
              <w:t>advantages and disadvantages</w:t>
            </w:r>
            <w:r w:rsidRPr="0082692E">
              <w:t xml:space="preserve"> </w:t>
            </w:r>
            <w:r w:rsidRPr="002A158A">
              <w:rPr>
                <w:rFonts w:cs="Times New Roman"/>
                <w:bCs/>
              </w:rPr>
              <w:t>and the need for sustainable development.</w:t>
            </w:r>
          </w:p>
        </w:tc>
        <w:tc>
          <w:tcPr>
            <w:tcW w:w="771" w:type="dxa"/>
          </w:tcPr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256E31" w:rsidRPr="0031365E" w:rsidRDefault="00BC19B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="0091449E">
              <w:rPr>
                <w:rFonts w:eastAsia="Times New Roman" w:cs="Times New Roman"/>
                <w:color w:val="000000"/>
              </w:rPr>
              <w:t>2</w:t>
            </w:r>
          </w:p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256E31" w:rsidRPr="0031365E" w:rsidTr="001B4E73">
        <w:tc>
          <w:tcPr>
            <w:tcW w:w="1347" w:type="dxa"/>
            <w:vMerge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256E31" w:rsidRPr="0031365E" w:rsidRDefault="00700CB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256E31" w:rsidRPr="0031365E" w:rsidRDefault="00B94F72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256E31" w:rsidRPr="0031365E" w:rsidTr="001B4E73">
        <w:tc>
          <w:tcPr>
            <w:tcW w:w="1347" w:type="dxa"/>
            <w:vMerge w:val="restart"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C212.3</w:t>
            </w:r>
          </w:p>
        </w:tc>
        <w:tc>
          <w:tcPr>
            <w:tcW w:w="6276" w:type="dxa"/>
            <w:gridSpan w:val="11"/>
          </w:tcPr>
          <w:p w:rsidR="00256E31" w:rsidRPr="00BC19B1" w:rsidRDefault="00BC19B1" w:rsidP="000D444D">
            <w:pPr>
              <w:jc w:val="both"/>
              <w:rPr>
                <w:rFonts w:eastAsia="Calibri"/>
              </w:rPr>
            </w:pPr>
            <w:r w:rsidRPr="00BC19B1">
              <w:rPr>
                <w:rFonts w:eastAsia="Calibri"/>
              </w:rPr>
              <w:t xml:space="preserve">Students will be able to </w:t>
            </w:r>
            <w:r w:rsidR="000D444D">
              <w:rPr>
                <w:rFonts w:eastAsia="Calibri"/>
              </w:rPr>
              <w:t xml:space="preserve">understand and can work on the principles of </w:t>
            </w:r>
            <w:r w:rsidR="00853FAC">
              <w:rPr>
                <w:rFonts w:eastAsia="Calibri"/>
              </w:rPr>
              <w:t>different aspects of earthquake resistant c</w:t>
            </w:r>
            <w:r w:rsidRPr="00BC19B1">
              <w:rPr>
                <w:rFonts w:eastAsia="Calibri"/>
              </w:rPr>
              <w:t>onstruction,</w:t>
            </w:r>
            <w:r w:rsidR="003F61D6">
              <w:rPr>
                <w:rFonts w:eastAsia="Calibri"/>
              </w:rPr>
              <w:t xml:space="preserve"> </w:t>
            </w:r>
            <w:r w:rsidRPr="00BC19B1">
              <w:rPr>
                <w:rFonts w:eastAsia="Calibri"/>
              </w:rPr>
              <w:t>saf</w:t>
            </w:r>
            <w:r w:rsidR="003F61D6">
              <w:rPr>
                <w:rFonts w:eastAsia="Calibri"/>
              </w:rPr>
              <w:t>e</w:t>
            </w:r>
            <w:r w:rsidRPr="00BC19B1">
              <w:rPr>
                <w:rFonts w:eastAsia="Calibri"/>
              </w:rPr>
              <w:t>ty during construction of additional struc</w:t>
            </w:r>
            <w:r w:rsidR="003F61D6">
              <w:rPr>
                <w:rFonts w:eastAsia="Calibri"/>
              </w:rPr>
              <w:t>tures and different aspects of retrofitting of s</w:t>
            </w:r>
            <w:r w:rsidRPr="00BC19B1">
              <w:rPr>
                <w:rFonts w:eastAsia="Calibri"/>
              </w:rPr>
              <w:t>tructures</w:t>
            </w:r>
            <w:r w:rsidR="000D444D">
              <w:rPr>
                <w:rFonts w:eastAsia="Calibri"/>
              </w:rPr>
              <w:t>’</w:t>
            </w:r>
          </w:p>
        </w:tc>
        <w:tc>
          <w:tcPr>
            <w:tcW w:w="771" w:type="dxa"/>
          </w:tcPr>
          <w:p w:rsidR="00256E31" w:rsidRPr="0031365E" w:rsidRDefault="00256E31" w:rsidP="001B4E73">
            <w:pPr>
              <w:jc w:val="both"/>
              <w:rPr>
                <w:rFonts w:eastAsia="Calibri" w:cs="Times New Roman"/>
              </w:rPr>
            </w:pPr>
          </w:p>
          <w:p w:rsidR="00256E31" w:rsidRPr="0031365E" w:rsidRDefault="00256E31" w:rsidP="001B4E73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</w:t>
            </w:r>
            <w:r w:rsidRPr="0031365E">
              <w:rPr>
                <w:rFonts w:eastAsia="Calibri" w:cs="Times New Roman"/>
              </w:rPr>
              <w:t xml:space="preserve"> </w:t>
            </w:r>
            <w:r w:rsidR="00873D82">
              <w:rPr>
                <w:rFonts w:eastAsia="Calibri" w:cs="Times New Roman"/>
              </w:rPr>
              <w:t>3</w:t>
            </w:r>
          </w:p>
          <w:p w:rsidR="00256E31" w:rsidRPr="0031365E" w:rsidRDefault="00256E31" w:rsidP="001B4E73">
            <w:pPr>
              <w:jc w:val="both"/>
              <w:rPr>
                <w:rFonts w:eastAsia="Calibri" w:cs="Times New Roman"/>
              </w:rPr>
            </w:pPr>
          </w:p>
        </w:tc>
      </w:tr>
      <w:tr w:rsidR="00256E31" w:rsidRPr="0031365E" w:rsidTr="001B4E73">
        <w:tc>
          <w:tcPr>
            <w:tcW w:w="1347" w:type="dxa"/>
            <w:vMerge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256E31" w:rsidRPr="0031365E" w:rsidRDefault="00BF274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256E31" w:rsidRPr="0031365E" w:rsidTr="001B4E73">
        <w:tc>
          <w:tcPr>
            <w:tcW w:w="1347" w:type="dxa"/>
            <w:vMerge w:val="restart"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C212.4</w:t>
            </w:r>
          </w:p>
        </w:tc>
        <w:tc>
          <w:tcPr>
            <w:tcW w:w="6276" w:type="dxa"/>
            <w:gridSpan w:val="11"/>
          </w:tcPr>
          <w:p w:rsidR="00256E31" w:rsidRPr="00CA7D56" w:rsidRDefault="00BC19B1" w:rsidP="001B4E73">
            <w:pPr>
              <w:spacing w:after="27"/>
              <w:jc w:val="both"/>
              <w:rPr>
                <w:rFonts w:eastAsia="Calibri"/>
              </w:rPr>
            </w:pPr>
            <w:r w:rsidRPr="00BC19B1">
              <w:rPr>
                <w:rFonts w:eastAsia="Calibri"/>
              </w:rPr>
              <w:t>Students will be able to understand about the differe</w:t>
            </w:r>
            <w:r w:rsidR="00DC62B1">
              <w:rPr>
                <w:rFonts w:eastAsia="Calibri"/>
              </w:rPr>
              <w:t>nt aspects of building services</w:t>
            </w:r>
            <w:r w:rsidR="00BA3A7C">
              <w:rPr>
                <w:rFonts w:eastAsia="Calibri"/>
              </w:rPr>
              <w:t xml:space="preserve"> and can apply</w:t>
            </w:r>
            <w:r w:rsidR="00F5403B">
              <w:rPr>
                <w:rFonts w:eastAsia="Calibri"/>
              </w:rPr>
              <w:t xml:space="preserve"> it for the development of </w:t>
            </w:r>
            <w:r w:rsidR="00BA3A7C">
              <w:rPr>
                <w:rFonts w:eastAsia="Calibri"/>
              </w:rPr>
              <w:t>water distribution</w:t>
            </w:r>
            <w:r w:rsidR="009631E8">
              <w:rPr>
                <w:rFonts w:eastAsia="Calibri"/>
              </w:rPr>
              <w:t>, s</w:t>
            </w:r>
            <w:r w:rsidRPr="00BC19B1">
              <w:rPr>
                <w:rFonts w:eastAsia="Calibri"/>
              </w:rPr>
              <w:t>a</w:t>
            </w:r>
            <w:r w:rsidR="009631E8">
              <w:rPr>
                <w:rFonts w:eastAsia="Calibri"/>
              </w:rPr>
              <w:t>nitation, e</w:t>
            </w:r>
            <w:r w:rsidR="00853FAC">
              <w:rPr>
                <w:rFonts w:eastAsia="Calibri"/>
              </w:rPr>
              <w:t>lectrical services, lighting, ventilation, mechanical s</w:t>
            </w:r>
            <w:r w:rsidR="009631E8">
              <w:rPr>
                <w:rFonts w:eastAsia="Calibri"/>
              </w:rPr>
              <w:t xml:space="preserve">ervices </w:t>
            </w:r>
            <w:r w:rsidR="00F5403B">
              <w:rPr>
                <w:rFonts w:eastAsia="Calibri"/>
              </w:rPr>
              <w:t xml:space="preserve">in a high rise </w:t>
            </w:r>
            <w:proofErr w:type="spellStart"/>
            <w:r w:rsidR="00F5403B">
              <w:rPr>
                <w:rFonts w:eastAsia="Calibri"/>
              </w:rPr>
              <w:t>buildinge</w:t>
            </w:r>
            <w:proofErr w:type="spellEnd"/>
            <w:r w:rsidR="009631E8">
              <w:rPr>
                <w:rFonts w:eastAsia="Calibri"/>
              </w:rPr>
              <w:t>.</w:t>
            </w:r>
          </w:p>
        </w:tc>
        <w:tc>
          <w:tcPr>
            <w:tcW w:w="771" w:type="dxa"/>
          </w:tcPr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256E31" w:rsidRPr="0031365E" w:rsidRDefault="00BC19B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="00185348">
              <w:rPr>
                <w:rFonts w:eastAsia="Times New Roman" w:cs="Times New Roman"/>
                <w:color w:val="000000"/>
              </w:rPr>
              <w:t>3</w:t>
            </w:r>
          </w:p>
          <w:p w:rsidR="00256E31" w:rsidRPr="0031365E" w:rsidRDefault="00256E31" w:rsidP="001B4E7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256E31" w:rsidRPr="0031365E" w:rsidTr="001B4E73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256E31" w:rsidRPr="0031365E" w:rsidTr="001B4E73">
        <w:tc>
          <w:tcPr>
            <w:tcW w:w="1347" w:type="dxa"/>
            <w:vMerge w:val="restart"/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C212.5</w:t>
            </w:r>
          </w:p>
        </w:tc>
        <w:tc>
          <w:tcPr>
            <w:tcW w:w="6276" w:type="dxa"/>
            <w:gridSpan w:val="11"/>
          </w:tcPr>
          <w:p w:rsidR="00256E31" w:rsidRPr="00BC19B1" w:rsidRDefault="00BC19B1" w:rsidP="00185348">
            <w:pPr>
              <w:jc w:val="both"/>
              <w:rPr>
                <w:rFonts w:eastAsia="Calibri"/>
              </w:rPr>
            </w:pPr>
            <w:r w:rsidRPr="00BC19B1">
              <w:rPr>
                <w:rFonts w:eastAsia="Calibri"/>
              </w:rPr>
              <w:t xml:space="preserve">Students will be able to </w:t>
            </w:r>
            <w:r w:rsidR="00185348">
              <w:rPr>
                <w:rFonts w:eastAsia="Calibri"/>
              </w:rPr>
              <w:t xml:space="preserve">evaluate the </w:t>
            </w:r>
            <w:r w:rsidRPr="00BC19B1">
              <w:rPr>
                <w:rFonts w:eastAsia="Calibri"/>
              </w:rPr>
              <w:t xml:space="preserve">different aspects of earth moving </w:t>
            </w:r>
            <w:proofErr w:type="spellStart"/>
            <w:r w:rsidRPr="00BC19B1">
              <w:rPr>
                <w:rFonts w:eastAsia="Calibri"/>
              </w:rPr>
              <w:t>equipments</w:t>
            </w:r>
            <w:proofErr w:type="spellEnd"/>
            <w:r w:rsidRPr="00BC19B1">
              <w:rPr>
                <w:rFonts w:eastAsia="Calibri"/>
              </w:rPr>
              <w:t xml:space="preserve"> like  selection</w:t>
            </w:r>
            <w:r w:rsidR="00872357">
              <w:rPr>
                <w:rFonts w:eastAsia="Calibri"/>
              </w:rPr>
              <w:t>, p</w:t>
            </w:r>
            <w:r w:rsidRPr="00BC19B1">
              <w:rPr>
                <w:rFonts w:eastAsia="Calibri"/>
              </w:rPr>
              <w:t>lanning, use, maintaining oper</w:t>
            </w:r>
            <w:r w:rsidR="00872357">
              <w:rPr>
                <w:rFonts w:eastAsia="Calibri"/>
              </w:rPr>
              <w:t>at</w:t>
            </w:r>
            <w:r w:rsidRPr="00BC19B1">
              <w:rPr>
                <w:rFonts w:eastAsia="Calibri"/>
              </w:rPr>
              <w:t>ing cost</w:t>
            </w:r>
            <w:r w:rsidR="00185348">
              <w:rPr>
                <w:rFonts w:eastAsia="Calibri"/>
              </w:rPr>
              <w:t xml:space="preserve"> etc.</w:t>
            </w:r>
          </w:p>
        </w:tc>
        <w:tc>
          <w:tcPr>
            <w:tcW w:w="771" w:type="dxa"/>
          </w:tcPr>
          <w:p w:rsidR="00256E31" w:rsidRPr="0031365E" w:rsidRDefault="00256E31" w:rsidP="001B4E73">
            <w:pPr>
              <w:jc w:val="both"/>
              <w:rPr>
                <w:rFonts w:eastAsia="Calibri"/>
              </w:rPr>
            </w:pPr>
          </w:p>
          <w:p w:rsidR="00256E31" w:rsidRPr="0031365E" w:rsidRDefault="00BC19B1" w:rsidP="001B4E7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873D82">
              <w:rPr>
                <w:rFonts w:eastAsia="Calibri"/>
              </w:rPr>
              <w:t>5</w:t>
            </w:r>
          </w:p>
        </w:tc>
      </w:tr>
      <w:tr w:rsidR="00256E31" w:rsidRPr="0031365E" w:rsidTr="006D0791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872357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256E31" w:rsidRPr="0031365E" w:rsidRDefault="00256E3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1B4E73" w:rsidRPr="0031365E" w:rsidTr="006D079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:rsidR="001B4E73" w:rsidRPr="0031365E" w:rsidRDefault="00EA117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</w:t>
            </w:r>
            <w:r w:rsidR="001B4E73">
              <w:rPr>
                <w:rFonts w:ascii="Arial MT" w:eastAsia="Arial MT" w:hAnsi="Arial MT" w:cs="Arial MT"/>
              </w:rPr>
              <w:t>C212.6</w:t>
            </w:r>
          </w:p>
        </w:tc>
        <w:tc>
          <w:tcPr>
            <w:tcW w:w="6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4E73" w:rsidRPr="0031365E" w:rsidRDefault="00185348" w:rsidP="0088782D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40C03">
              <w:rPr>
                <w:rFonts w:cs="Times New Roman"/>
                <w:bCs/>
              </w:rPr>
              <w:t xml:space="preserve">Students will be able to </w:t>
            </w:r>
            <w:r>
              <w:rPr>
                <w:rFonts w:cs="Times New Roman"/>
                <w:bCs/>
              </w:rPr>
              <w:t>e</w:t>
            </w:r>
            <w:r w:rsidRPr="002A158A">
              <w:rPr>
                <w:rFonts w:cs="Times New Roman"/>
                <w:bCs/>
              </w:rPr>
              <w:t xml:space="preserve">valuate </w:t>
            </w:r>
            <w:r>
              <w:rPr>
                <w:rFonts w:cs="Times New Roman"/>
                <w:bCs/>
              </w:rPr>
              <w:t>n</w:t>
            </w:r>
            <w:r w:rsidRPr="00022403">
              <w:rPr>
                <w:rFonts w:cs="Times New Roman"/>
                <w:bCs/>
              </w:rPr>
              <w:t xml:space="preserve">ecessity of soil reinforcing. </w:t>
            </w:r>
            <w:proofErr w:type="gramStart"/>
            <w:r w:rsidRPr="002A158A">
              <w:rPr>
                <w:rFonts w:cs="Times New Roman"/>
                <w:bCs/>
              </w:rPr>
              <w:t>technical</w:t>
            </w:r>
            <w:proofErr w:type="gramEnd"/>
            <w:r w:rsidRPr="002A158A">
              <w:rPr>
                <w:rFonts w:cs="Times New Roman"/>
                <w:bCs/>
              </w:rPr>
              <w:t xml:space="preserve"> knowledge to practice construction profession and </w:t>
            </w:r>
            <w:r>
              <w:rPr>
                <w:rFonts w:cs="Times New Roman"/>
                <w:bCs/>
              </w:rPr>
              <w:t>u</w:t>
            </w:r>
            <w:r w:rsidRPr="00022403">
              <w:rPr>
                <w:rFonts w:cs="Times New Roman"/>
                <w:bCs/>
              </w:rPr>
              <w:t>s</w:t>
            </w:r>
            <w:r>
              <w:rPr>
                <w:rFonts w:cs="Times New Roman"/>
                <w:bCs/>
              </w:rPr>
              <w:t>ing</w:t>
            </w:r>
            <w:r w:rsidRPr="00022403">
              <w:rPr>
                <w:rFonts w:cs="Times New Roman"/>
                <w:bCs/>
              </w:rPr>
              <w:t xml:space="preserve"> wire mesh and geo-synthetics </w:t>
            </w:r>
            <w:r w:rsidRPr="002A158A">
              <w:rPr>
                <w:rFonts w:cs="Times New Roman"/>
                <w:bCs/>
              </w:rPr>
              <w:t>and contemporary knowledge.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4E73" w:rsidRPr="0031365E" w:rsidRDefault="00873D82" w:rsidP="001B4E73">
            <w:pPr>
              <w:widowControl w:val="0"/>
              <w:autoSpaceDE w:val="0"/>
              <w:autoSpaceDN w:val="0"/>
              <w:spacing w:before="132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 </w:t>
            </w:r>
            <w:r w:rsidR="00185348"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A82121" w:rsidRPr="0031365E" w:rsidTr="006D0791"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82121" w:rsidRPr="0031365E" w:rsidRDefault="00A8212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Pr="0031365E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Pr="0031365E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EA117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82121" w:rsidRPr="0031365E" w:rsidRDefault="00A8212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82121" w:rsidRPr="0031365E" w:rsidTr="006D0791"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A82121" w:rsidRPr="0031365E" w:rsidRDefault="0088782D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2.25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2.20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Pr="0031365E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Pr="0031365E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Default="0091449E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A82121" w:rsidRPr="0031365E" w:rsidRDefault="00A8212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6D0791" w:rsidRPr="0031365E" w:rsidTr="001B4E73">
        <w:tc>
          <w:tcPr>
            <w:tcW w:w="134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6D0791" w:rsidRDefault="006D0791" w:rsidP="001B4E73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Pr="0031365E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D99594"/>
          </w:tcPr>
          <w:p w:rsidR="006D0791" w:rsidRPr="0031365E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</w:tcBorders>
            <w:shd w:val="clear" w:color="auto" w:fill="D99594"/>
          </w:tcPr>
          <w:p w:rsidR="006D0791" w:rsidRDefault="00000B7C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D99594"/>
          </w:tcPr>
          <w:p w:rsidR="006D0791" w:rsidRPr="0031365E" w:rsidRDefault="006D0791" w:rsidP="001B4E73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285836" w:rsidRPr="00256E31" w:rsidRDefault="00285836" w:rsidP="00256E31">
      <w:pPr>
        <w:tabs>
          <w:tab w:val="left" w:pos="1275"/>
        </w:tabs>
      </w:pPr>
    </w:p>
    <w:sectPr w:rsidR="00285836" w:rsidRPr="00256E31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EE" w:rsidRDefault="004C5CEE" w:rsidP="00873D82">
      <w:pPr>
        <w:spacing w:after="0" w:line="240" w:lineRule="auto"/>
      </w:pPr>
      <w:r>
        <w:separator/>
      </w:r>
    </w:p>
  </w:endnote>
  <w:endnote w:type="continuationSeparator" w:id="0">
    <w:p w:rsidR="004C5CEE" w:rsidRDefault="004C5CEE" w:rsidP="0087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EE" w:rsidRDefault="004C5CEE" w:rsidP="00873D82">
      <w:pPr>
        <w:spacing w:after="0" w:line="240" w:lineRule="auto"/>
      </w:pPr>
      <w:r>
        <w:separator/>
      </w:r>
    </w:p>
  </w:footnote>
  <w:footnote w:type="continuationSeparator" w:id="0">
    <w:p w:rsidR="004C5CEE" w:rsidRDefault="004C5CEE" w:rsidP="0087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45"/>
    <w:rsid w:val="00000B7C"/>
    <w:rsid w:val="000D444D"/>
    <w:rsid w:val="00173D55"/>
    <w:rsid w:val="00185348"/>
    <w:rsid w:val="001B4E73"/>
    <w:rsid w:val="00236752"/>
    <w:rsid w:val="00256E31"/>
    <w:rsid w:val="002665D9"/>
    <w:rsid w:val="00271A7D"/>
    <w:rsid w:val="00285836"/>
    <w:rsid w:val="00315546"/>
    <w:rsid w:val="00364B2A"/>
    <w:rsid w:val="003F61D6"/>
    <w:rsid w:val="004C5CEE"/>
    <w:rsid w:val="005141A8"/>
    <w:rsid w:val="006D0791"/>
    <w:rsid w:val="00700CBE"/>
    <w:rsid w:val="0080100A"/>
    <w:rsid w:val="00804A76"/>
    <w:rsid w:val="00853FAC"/>
    <w:rsid w:val="00872357"/>
    <w:rsid w:val="00873D82"/>
    <w:rsid w:val="0088782D"/>
    <w:rsid w:val="0091449E"/>
    <w:rsid w:val="009631E8"/>
    <w:rsid w:val="009E2EA7"/>
    <w:rsid w:val="00A82121"/>
    <w:rsid w:val="00B32BF3"/>
    <w:rsid w:val="00B94F72"/>
    <w:rsid w:val="00BA3A7C"/>
    <w:rsid w:val="00BC19B1"/>
    <w:rsid w:val="00BC203D"/>
    <w:rsid w:val="00BE35C5"/>
    <w:rsid w:val="00BF274E"/>
    <w:rsid w:val="00CA7D56"/>
    <w:rsid w:val="00D51C9D"/>
    <w:rsid w:val="00DC62B1"/>
    <w:rsid w:val="00E53545"/>
    <w:rsid w:val="00E62587"/>
    <w:rsid w:val="00EA1171"/>
    <w:rsid w:val="00F5403B"/>
    <w:rsid w:val="00F64C71"/>
    <w:rsid w:val="00F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9887D-F574-496E-BBC6-C9BE414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E35C5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82"/>
  </w:style>
  <w:style w:type="paragraph" w:styleId="Footer">
    <w:name w:val="footer"/>
    <w:basedOn w:val="Normal"/>
    <w:link w:val="FooterChar"/>
    <w:uiPriority w:val="99"/>
    <w:unhideWhenUsed/>
    <w:rsid w:val="0087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AB37-13E1-4217-B42B-2204D63E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2024-02-24T07:06:00Z</dcterms:created>
  <dcterms:modified xsi:type="dcterms:W3CDTF">2024-04-15T12:16:00Z</dcterms:modified>
</cp:coreProperties>
</file>