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46" w:rsidRPr="00F96BB3" w:rsidRDefault="007A2446" w:rsidP="007A2446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i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Subject: Highway Engineering                                                                          </w:t>
      </w: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</w:t>
      </w:r>
      <w:r>
        <w:rPr>
          <w:rFonts w:ascii="Cambria" w:eastAsia="Cambria" w:hAnsi="Cambria" w:cs="Cambria"/>
          <w:b/>
          <w:spacing w:val="-2"/>
          <w:sz w:val="24"/>
          <w:lang w:val="en-US"/>
        </w:rPr>
        <w:t>Code:  C212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578"/>
        <w:gridCol w:w="618"/>
        <w:gridCol w:w="597"/>
        <w:gridCol w:w="597"/>
        <w:gridCol w:w="597"/>
        <w:gridCol w:w="618"/>
        <w:gridCol w:w="597"/>
        <w:gridCol w:w="618"/>
        <w:gridCol w:w="699"/>
        <w:gridCol w:w="699"/>
        <w:gridCol w:w="699"/>
        <w:gridCol w:w="752"/>
      </w:tblGrid>
      <w:tr w:rsidR="007A2446" w:rsidRPr="0031365E" w:rsidTr="00D15587">
        <w:tc>
          <w:tcPr>
            <w:tcW w:w="1347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78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8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8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52" w:type="dxa"/>
            <w:shd w:val="clear" w:color="auto" w:fill="C0000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7A2446" w:rsidRPr="0031365E" w:rsidTr="00D15587">
        <w:tc>
          <w:tcPr>
            <w:tcW w:w="1347" w:type="dxa"/>
            <w:vMerge w:val="restart"/>
            <w:shd w:val="clear" w:color="auto" w:fill="92D050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C212.1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>The students will be able to learn the importance of highway engineering and know about different organizations and   their   functions.</w:t>
            </w: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eastAsia="Calibri"/>
              </w:rPr>
            </w:pPr>
          </w:p>
        </w:tc>
        <w:tc>
          <w:tcPr>
            <w:tcW w:w="752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 xml:space="preserve">  2</w:t>
            </w:r>
          </w:p>
        </w:tc>
        <w:bookmarkStart w:id="0" w:name="_GoBack"/>
        <w:bookmarkEnd w:id="0"/>
      </w:tr>
      <w:tr w:rsidR="007A2446" w:rsidRPr="0031365E" w:rsidTr="00D15587">
        <w:tc>
          <w:tcPr>
            <w:tcW w:w="1347" w:type="dxa"/>
            <w:vMerge/>
            <w:shd w:val="clear" w:color="auto" w:fill="92D050"/>
          </w:tcPr>
          <w:p w:rsidR="007A2446" w:rsidRPr="0031365E" w:rsidRDefault="007A2446" w:rsidP="00D155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  <w:vMerge w:val="restart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C212.2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 xml:space="preserve">The students will be able to apply the knowledge of various geometrical and constructional aspects of roads constructions, design of alignment and prepare road master plan through road survey. </w:t>
            </w:r>
          </w:p>
          <w:p w:rsidR="007A2446" w:rsidRPr="0031365E" w:rsidRDefault="007A2446" w:rsidP="00D155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52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 xml:space="preserve">   6</w:t>
            </w:r>
          </w:p>
        </w:tc>
      </w:tr>
      <w:tr w:rsidR="007A2446" w:rsidRPr="0031365E" w:rsidTr="00D15587">
        <w:tc>
          <w:tcPr>
            <w:tcW w:w="1347" w:type="dxa"/>
            <w:vMerge/>
          </w:tcPr>
          <w:p w:rsidR="007A2446" w:rsidRPr="0031365E" w:rsidRDefault="007A2446" w:rsidP="00D155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  <w:vMerge w:val="restart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C212.3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  <w:r w:rsidRPr="0031365E">
              <w:rPr>
                <w:rFonts w:eastAsia="Calibri" w:cs="Times New Roman"/>
              </w:rPr>
              <w:t xml:space="preserve">The students will be able to </w:t>
            </w:r>
            <w:r w:rsidRPr="0031365E">
              <w:rPr>
                <w:rFonts w:eastAsia="Arial" w:cs="Times New Roman"/>
              </w:rPr>
              <w:t>justify the requirement of specified test to be conducted on various materials as per SI code as per their suitability.</w:t>
            </w:r>
          </w:p>
          <w:p w:rsidR="007A2446" w:rsidRPr="0031365E" w:rsidRDefault="007A2446" w:rsidP="00D155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52" w:type="dxa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</w:p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  <w:r w:rsidRPr="0031365E">
              <w:rPr>
                <w:rFonts w:eastAsia="Calibri" w:cs="Times New Roman"/>
              </w:rPr>
              <w:t xml:space="preserve">  5  </w:t>
            </w:r>
          </w:p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</w:p>
        </w:tc>
      </w:tr>
      <w:tr w:rsidR="007A2446" w:rsidRPr="0031365E" w:rsidTr="00D15587">
        <w:tc>
          <w:tcPr>
            <w:tcW w:w="1347" w:type="dxa"/>
            <w:vMerge/>
          </w:tcPr>
          <w:p w:rsidR="007A2446" w:rsidRPr="0031365E" w:rsidRDefault="007A2446" w:rsidP="00D155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  <w:vMerge w:val="restart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C212.4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 xml:space="preserve">The students  will be able to analyze various aspects of road and drainage constructions and its maintenance work along with various aspects of hill road constructions and </w:t>
            </w:r>
            <w:proofErr w:type="spellStart"/>
            <w:r w:rsidRPr="0031365E">
              <w:rPr>
                <w:rFonts w:eastAsia="Times New Roman" w:cs="Times New Roman"/>
                <w:color w:val="000000"/>
              </w:rPr>
              <w:t>itsdesign</w:t>
            </w:r>
            <w:proofErr w:type="spellEnd"/>
            <w:r w:rsidRPr="0031365E">
              <w:rPr>
                <w:rFonts w:eastAsia="Times New Roman" w:cs="Times New Roman"/>
                <w:color w:val="000000"/>
              </w:rPr>
              <w:t>, handle various road projects</w:t>
            </w:r>
          </w:p>
          <w:p w:rsidR="007A2446" w:rsidRPr="0031365E" w:rsidRDefault="007A2446" w:rsidP="00D155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52" w:type="dxa"/>
          </w:tcPr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7A2446" w:rsidRPr="0031365E" w:rsidRDefault="007A2446" w:rsidP="00D1558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31365E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7A2446" w:rsidRPr="0031365E" w:rsidTr="00D15587">
        <w:tc>
          <w:tcPr>
            <w:tcW w:w="1347" w:type="dxa"/>
            <w:vMerge/>
          </w:tcPr>
          <w:p w:rsidR="007A2446" w:rsidRPr="0031365E" w:rsidRDefault="007A2446" w:rsidP="00D155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  <w:vMerge w:val="restart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C212.5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jc w:val="both"/>
              <w:rPr>
                <w:rFonts w:eastAsia="Calibri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jc w:val="both"/>
              <w:rPr>
                <w:rFonts w:eastAsia="Calibri"/>
                <w:b/>
              </w:rPr>
            </w:pPr>
            <w:r w:rsidRPr="0031365E">
              <w:rPr>
                <w:rFonts w:eastAsia="Calibri"/>
              </w:rPr>
              <w:t>The students will be able to evaluate the performance of various construction equipment’s used for highway construction.</w:t>
            </w:r>
          </w:p>
        </w:tc>
        <w:tc>
          <w:tcPr>
            <w:tcW w:w="752" w:type="dxa"/>
          </w:tcPr>
          <w:p w:rsidR="007A2446" w:rsidRPr="0031365E" w:rsidRDefault="007A2446" w:rsidP="00D15587">
            <w:pPr>
              <w:jc w:val="both"/>
              <w:rPr>
                <w:rFonts w:eastAsia="Calibri"/>
              </w:rPr>
            </w:pPr>
          </w:p>
          <w:p w:rsidR="007A2446" w:rsidRPr="0031365E" w:rsidRDefault="007A2446" w:rsidP="00D15587">
            <w:pPr>
              <w:jc w:val="both"/>
              <w:rPr>
                <w:rFonts w:eastAsia="Calibri"/>
              </w:rPr>
            </w:pPr>
            <w:r w:rsidRPr="0031365E">
              <w:rPr>
                <w:rFonts w:eastAsia="Calibri"/>
              </w:rPr>
              <w:t>5</w:t>
            </w:r>
          </w:p>
        </w:tc>
      </w:tr>
      <w:tr w:rsidR="007A2446" w:rsidRPr="0031365E" w:rsidTr="00D15587">
        <w:tc>
          <w:tcPr>
            <w:tcW w:w="1347" w:type="dxa"/>
            <w:vMerge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  <w:vMerge w:val="restart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C212.6</w:t>
            </w:r>
          </w:p>
        </w:tc>
        <w:tc>
          <w:tcPr>
            <w:tcW w:w="578" w:type="dxa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339" w:type="dxa"/>
            <w:gridSpan w:val="10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  <w:r w:rsidRPr="0031365E">
              <w:rPr>
                <w:rFonts w:eastAsia="Calibri" w:cs="Times New Roman"/>
              </w:rPr>
              <w:t>The students will be able to solve various traffic related issues and apply the knowledge for developing road side landscapes.</w:t>
            </w:r>
          </w:p>
          <w:p w:rsidR="007A2446" w:rsidRPr="0031365E" w:rsidRDefault="007A2446" w:rsidP="00D155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52" w:type="dxa"/>
          </w:tcPr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</w:p>
          <w:p w:rsidR="007A2446" w:rsidRPr="0031365E" w:rsidRDefault="007A2446" w:rsidP="00D15587">
            <w:pPr>
              <w:jc w:val="both"/>
              <w:rPr>
                <w:rFonts w:eastAsia="Calibri" w:cs="Times New Roman"/>
              </w:rPr>
            </w:pPr>
            <w:r w:rsidRPr="0031365E">
              <w:rPr>
                <w:rFonts w:eastAsia="Calibri" w:cs="Times New Roman"/>
              </w:rPr>
              <w:t>3</w:t>
            </w:r>
          </w:p>
        </w:tc>
      </w:tr>
      <w:tr w:rsidR="007A2446" w:rsidRPr="0031365E" w:rsidTr="00D15587">
        <w:tc>
          <w:tcPr>
            <w:tcW w:w="1347" w:type="dxa"/>
            <w:vMerge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7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78" w:type="dxa"/>
            <w:shd w:val="clear" w:color="auto" w:fill="D99594"/>
          </w:tcPr>
          <w:p w:rsidR="007A2446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1.33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2446" w:rsidRPr="0031365E" w:rsidTr="00D15587">
        <w:tc>
          <w:tcPr>
            <w:tcW w:w="1347" w:type="dxa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78" w:type="dxa"/>
            <w:shd w:val="clear" w:color="auto" w:fill="D99594"/>
          </w:tcPr>
          <w:p w:rsidR="007A2446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52" w:type="dxa"/>
            <w:shd w:val="clear" w:color="auto" w:fill="D99594"/>
          </w:tcPr>
          <w:p w:rsidR="007A2446" w:rsidRPr="0031365E" w:rsidRDefault="007A2446" w:rsidP="00D1558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7A2446" w:rsidRPr="0031365E" w:rsidRDefault="007A2446" w:rsidP="007A2446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7A2446" w:rsidRPr="0031365E" w:rsidRDefault="007A2446" w:rsidP="007A2446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7A2446" w:rsidRDefault="007A2446" w:rsidP="007A2446"/>
    <w:p w:rsidR="0018080F" w:rsidRDefault="0018080F"/>
    <w:sectPr w:rsidR="0018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FD"/>
    <w:rsid w:val="0018080F"/>
    <w:rsid w:val="00563EFD"/>
    <w:rsid w:val="007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09815-3232-4D72-B55D-AEB1FBF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A2446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A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2024-04-16T07:29:00Z</dcterms:created>
  <dcterms:modified xsi:type="dcterms:W3CDTF">2024-04-16T07:29:00Z</dcterms:modified>
</cp:coreProperties>
</file>